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1792" w14:textId="77777777" w:rsidR="006C1AA6" w:rsidRDefault="006C1AA6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4284E362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 w:rsidR="00A14B1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– Formulář projektového záměru</w:t>
      </w:r>
    </w:p>
    <w:p w14:paraId="3ADB798B" w14:textId="4FD00E69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C210B1">
        <w:rPr>
          <w:rFonts w:ascii="Calibri" w:hAnsi="Calibri" w:cs="Calibri"/>
          <w:b/>
          <w:sz w:val="28"/>
          <w:szCs w:val="28"/>
        </w:rPr>
        <w:t>3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7A920861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F2479D">
        <w:rPr>
          <w:rFonts w:ascii="Calibri" w:hAnsi="Calibri" w:cs="Calibri"/>
          <w:b/>
          <w:smallCaps/>
          <w:sz w:val="28"/>
          <w:szCs w:val="28"/>
        </w:rPr>
        <w:t>Aktivios, z.s.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</w:t>
      </w:r>
      <w:r w:rsidR="005F1081">
        <w:rPr>
          <w:rFonts w:ascii="Calibri" w:hAnsi="Calibri" w:cs="Calibri"/>
          <w:b/>
          <w:smallCaps/>
          <w:sz w:val="28"/>
          <w:szCs w:val="28"/>
        </w:rPr>
        <w:t>i</w:t>
      </w:r>
      <w:r w:rsidR="009D31A0">
        <w:rPr>
          <w:rFonts w:ascii="Calibri" w:hAnsi="Calibri" w:cs="Calibri"/>
          <w:b/>
          <w:smallCaps/>
          <w:sz w:val="28"/>
          <w:szCs w:val="28"/>
        </w:rPr>
        <w:t xml:space="preserve">nfrastruktura pro </w:t>
      </w:r>
      <w:r w:rsidR="00C210B1">
        <w:rPr>
          <w:rFonts w:ascii="Calibri" w:hAnsi="Calibri" w:cs="Calibri"/>
          <w:b/>
          <w:smallCaps/>
          <w:sz w:val="28"/>
          <w:szCs w:val="28"/>
        </w:rPr>
        <w:t xml:space="preserve">cestovní </w:t>
      </w:r>
      <w:proofErr w:type="gramStart"/>
      <w:r w:rsidR="00C210B1">
        <w:rPr>
          <w:rFonts w:ascii="Calibri" w:hAnsi="Calibri" w:cs="Calibri"/>
          <w:b/>
          <w:smallCaps/>
          <w:sz w:val="28"/>
          <w:szCs w:val="28"/>
        </w:rPr>
        <w:t>ruch</w:t>
      </w:r>
      <w:r w:rsidR="00A53DA8">
        <w:rPr>
          <w:rFonts w:ascii="Calibri" w:hAnsi="Calibri" w:cs="Calibri"/>
          <w:b/>
          <w:smallCaps/>
          <w:sz w:val="28"/>
          <w:szCs w:val="28"/>
        </w:rPr>
        <w:t xml:space="preserve"> - I</w:t>
      </w:r>
      <w:proofErr w:type="gramEnd"/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3B246234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C210B1">
        <w:rPr>
          <w:rFonts w:ascii="Calibri" w:hAnsi="Calibri" w:cs="Calibri"/>
          <w:b/>
          <w:smallCaps/>
          <w:sz w:val="28"/>
          <w:szCs w:val="28"/>
        </w:rPr>
        <w:t>86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C210B1">
        <w:rPr>
          <w:rFonts w:ascii="Calibri" w:hAnsi="Calibri" w:cs="Calibri"/>
          <w:b/>
          <w:smallCaps/>
          <w:sz w:val="28"/>
          <w:szCs w:val="28"/>
        </w:rPr>
        <w:t>CESTOVNÍ RUCH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7657C450" w:rsidR="00211D24" w:rsidRDefault="00211D24" w:rsidP="00211D24">
      <w:pPr>
        <w:jc w:val="both"/>
      </w:pPr>
      <w:r>
        <w:t xml:space="preserve">V rámci MAS bude nejprve ze strany kanceláře MAS </w:t>
      </w:r>
      <w:r w:rsidR="00F2479D">
        <w:t xml:space="preserve">Aktivios, z.s., </w:t>
      </w:r>
      <w:r>
        <w:t>provedena administrativní kontrola</w:t>
      </w:r>
      <w:r w:rsidR="004E61A8">
        <w:t xml:space="preserve"> projektového záměru</w:t>
      </w:r>
      <w:r>
        <w:t xml:space="preserve">. Věcné hodnocení záměrů provádí Výběrová komise MAS </w:t>
      </w:r>
      <w:r w:rsidR="00F2479D">
        <w:t>Aktivios, z.s.,</w:t>
      </w:r>
      <w:r>
        <w:t xml:space="preserve"> jakožto výběrový orgán. </w:t>
      </w:r>
      <w:r w:rsidR="00F2479D">
        <w:t>Výbor spolku</w:t>
      </w:r>
      <w:r>
        <w:t xml:space="preserve"> MAS </w:t>
      </w:r>
      <w:r w:rsidR="00F2479D">
        <w:t>Aktivios, z.s.,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F2479D">
        <w:t>Aktivios, z.s</w:t>
      </w:r>
      <w:r>
        <w:t>. Toto vyjádření je povinnou součástí žádosti o podporu, kterou nositelé vybraných záměrů následně zpracují v</w:t>
      </w:r>
      <w:r w:rsidR="00067935">
        <w:t> </w:t>
      </w:r>
      <w:r>
        <w:t>MS</w:t>
      </w:r>
      <w:r w:rsidR="00067935">
        <w:t>20</w:t>
      </w:r>
      <w:r>
        <w:t>21+.</w:t>
      </w:r>
    </w:p>
    <w:p w14:paraId="7A5EAD6D" w14:textId="7C047478" w:rsidR="00211D24" w:rsidRDefault="00211D24" w:rsidP="00211D24">
      <w:pPr>
        <w:jc w:val="both"/>
      </w:pPr>
      <w:r>
        <w:t xml:space="preserve">Postup hodnocení záměrů je uveden </w:t>
      </w:r>
      <w:r w:rsidR="00077E65">
        <w:t xml:space="preserve">v Interních postupech MAS Aktivios, z.s., které jsou zveřejněny na </w:t>
      </w:r>
      <w:hyperlink r:id="rId11" w:history="1">
        <w:r w:rsidR="00077E65" w:rsidRPr="00481BAD">
          <w:rPr>
            <w:rStyle w:val="Hypertextovodkaz"/>
          </w:rPr>
          <w:t>www.mas-aktivios.cz</w:t>
        </w:r>
      </w:hyperlink>
      <w:r w:rsidR="00077E65">
        <w:t xml:space="preserve">. </w:t>
      </w:r>
    </w:p>
    <w:p w14:paraId="7A0D1AD6" w14:textId="10AC5A42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CC71C5">
        <w:t xml:space="preserve">86 </w:t>
      </w:r>
      <w:r>
        <w:t>IROP, a to prostřednictvím MS</w:t>
      </w:r>
      <w:r w:rsidR="004E61A8">
        <w:t>20</w:t>
      </w:r>
      <w:r>
        <w:t xml:space="preserve">21+. Hodnocení žádostí o podporu je v kompetenci Centra pro regionální rozvoj (CRR). </w:t>
      </w:r>
    </w:p>
    <w:p w14:paraId="7CD82269" w14:textId="0944BE9F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CC71C5">
        <w:t>86</w:t>
      </w:r>
      <w:r>
        <w:t xml:space="preserve"> IROP (vždy v aktuálním znění).</w:t>
      </w:r>
    </w:p>
    <w:p w14:paraId="2C5650A1" w14:textId="39E06F1B" w:rsidR="00211D24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2" w:history="1">
        <w:r w:rsidR="00CC71C5" w:rsidRPr="00E51F47">
          <w:rPr>
            <w:rStyle w:val="Hypertextovodkaz"/>
          </w:rPr>
          <w:t>https://irop.gov.cz/cs/vyzvy-2021-2027/vyzvy/86vyzvairop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17F0ADD4" w:rsidR="00211D24" w:rsidRPr="004E61A8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t>Záměr ve formátu pdf opatřený elektronickým podpisem osoby</w:t>
      </w:r>
      <w:r w:rsidR="00AA4402">
        <w:t>/osob</w:t>
      </w:r>
      <w:r>
        <w:t xml:space="preserve"> jednajících jménem žadatele (nebo osob zmocněných na základě plné moci) a relevantní přílohy je nutné zaslat na e-mail: </w:t>
      </w:r>
      <w:hyperlink r:id="rId13" w:history="1">
        <w:r w:rsidR="00F2479D" w:rsidRPr="00960F3A">
          <w:rPr>
            <w:rStyle w:val="Hypertextovodkaz"/>
            <w:b/>
            <w:bCs/>
          </w:rPr>
          <w:t>info@mas-aktivios.cz</w:t>
        </w:r>
      </w:hyperlink>
      <w:r w:rsidR="004E61A8">
        <w:rPr>
          <w:rStyle w:val="Hypertextovodkaz"/>
          <w:b/>
          <w:bCs/>
        </w:rPr>
        <w:t>.</w:t>
      </w:r>
      <w:r w:rsidR="004E61A8" w:rsidRPr="00081706">
        <w:rPr>
          <w:rStyle w:val="Hypertextovodkaz"/>
          <w:b/>
          <w:bCs/>
          <w:u w:val="none"/>
        </w:rPr>
        <w:t xml:space="preserve"> </w:t>
      </w:r>
      <w:r w:rsidR="00081706" w:rsidRPr="00081706">
        <w:rPr>
          <w:rStyle w:val="Hypertextovodkaz"/>
          <w:b/>
          <w:bCs/>
          <w:u w:val="none"/>
        </w:rPr>
        <w:t xml:space="preserve"> </w:t>
      </w:r>
      <w:r w:rsidR="004E61A8" w:rsidRPr="00081706">
        <w:rPr>
          <w:rStyle w:val="Hypertextovodkaz"/>
          <w:color w:val="auto"/>
        </w:rPr>
        <w:t xml:space="preserve">V předmětu mailu je nutné uvést číslo výzvy, tedy: </w:t>
      </w:r>
      <w:r w:rsidR="009161D5">
        <w:rPr>
          <w:rStyle w:val="Hypertextovodkaz"/>
          <w:color w:val="auto"/>
        </w:rPr>
        <w:t>Výzva</w:t>
      </w:r>
      <w:r w:rsidR="004E61A8" w:rsidRPr="00081706">
        <w:rPr>
          <w:rStyle w:val="Hypertextovodkaz"/>
          <w:color w:val="auto"/>
        </w:rPr>
        <w:t xml:space="preserve"> č. </w:t>
      </w:r>
      <w:r w:rsidR="00CC71C5">
        <w:rPr>
          <w:rStyle w:val="Hypertextovodkaz"/>
          <w:color w:val="auto"/>
        </w:rPr>
        <w:t>3</w:t>
      </w:r>
      <w:r w:rsidR="009161D5">
        <w:rPr>
          <w:rStyle w:val="Hypertextovodkaz"/>
          <w:color w:val="auto"/>
        </w:rPr>
        <w:t xml:space="preserve"> – IROP.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0F121A9E" w:rsidR="00211D24" w:rsidRPr="00211D24" w:rsidRDefault="006C1A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</w:t>
      </w:r>
      <w:r w:rsidR="00211D24" w:rsidRPr="00211D24">
        <w:rPr>
          <w:b/>
          <w:bCs/>
          <w:sz w:val="28"/>
          <w:szCs w:val="28"/>
        </w:rPr>
        <w:t>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34A9CAA3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F2479D">
              <w:rPr>
                <w:rFonts w:cs="Arial"/>
                <w:b/>
                <w:sz w:val="20"/>
                <w:szCs w:val="20"/>
              </w:rPr>
              <w:t>Aktivios, z.s.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266663E4" w14:textId="7347CC62" w:rsidR="00F434AF" w:rsidRPr="00F434AF" w:rsidRDefault="00F434AF" w:rsidP="00F2479D">
            <w:pPr>
              <w:rPr>
                <w:b/>
                <w:bCs/>
              </w:rPr>
            </w:pPr>
            <w:r w:rsidRPr="00F434AF">
              <w:rPr>
                <w:b/>
                <w:bCs/>
              </w:rPr>
              <w:t xml:space="preserve">Opatření č. </w:t>
            </w:r>
            <w:r w:rsidR="00AF308B">
              <w:rPr>
                <w:b/>
                <w:bCs/>
              </w:rPr>
              <w:t>5</w:t>
            </w:r>
            <w:r w:rsidRPr="00F434AF">
              <w:rPr>
                <w:b/>
                <w:bCs/>
              </w:rPr>
              <w:t xml:space="preserve"> </w:t>
            </w:r>
          </w:p>
          <w:p w14:paraId="0AE04F36" w14:textId="6D389B86" w:rsidR="006E6251" w:rsidRDefault="00F434AF" w:rsidP="00F434AF">
            <w:pPr>
              <w:rPr>
                <w:b/>
                <w:bCs/>
              </w:rPr>
            </w:pPr>
            <w:r w:rsidRPr="00F434AF">
              <w:rPr>
                <w:b/>
                <w:bCs/>
              </w:rPr>
              <w:t xml:space="preserve">IROP – </w:t>
            </w:r>
            <w:r w:rsidR="00B43AEC">
              <w:rPr>
                <w:b/>
                <w:bCs/>
              </w:rPr>
              <w:t>Cestovní ruch</w:t>
            </w:r>
            <w:r w:rsidRPr="00F434AF">
              <w:rPr>
                <w:b/>
                <w:bCs/>
              </w:rPr>
              <w:t xml:space="preserve"> </w:t>
            </w:r>
          </w:p>
          <w:p w14:paraId="314A4867" w14:textId="42DD7044" w:rsidR="00CE1743" w:rsidRDefault="00B43AEC" w:rsidP="00F434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5.1.1 Rozvoj </w:t>
            </w:r>
            <w:r w:rsidR="00021378">
              <w:rPr>
                <w:b/>
                <w:bCs/>
              </w:rPr>
              <w:t>i</w:t>
            </w:r>
            <w:r>
              <w:rPr>
                <w:b/>
                <w:bCs/>
              </w:rPr>
              <w:t>nfrastruktury cestovního ruchu</w:t>
            </w:r>
          </w:p>
          <w:p w14:paraId="1CC9AE0B" w14:textId="66119194" w:rsidR="00B43AEC" w:rsidRPr="00F434AF" w:rsidRDefault="00B43AEC" w:rsidP="00F434AF">
            <w:pPr>
              <w:rPr>
                <w:b/>
                <w:bCs/>
              </w:rPr>
            </w:pPr>
            <w:r>
              <w:rPr>
                <w:b/>
                <w:bCs/>
              </w:rPr>
              <w:t>5.1.2 Zvýšení atraktivity regionu pro cestovní ruch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A2736F8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B0993">
              <w:rPr>
                <w:rFonts w:cs="Arial"/>
                <w:bCs/>
                <w:sz w:val="20"/>
                <w:szCs w:val="20"/>
              </w:rPr>
              <w:t>86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FB0993">
              <w:rPr>
                <w:sz w:val="20"/>
                <w:szCs w:val="20"/>
              </w:rPr>
              <w:t>Cestovní ruch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  <w:r w:rsidR="00070398">
              <w:rPr>
                <w:sz w:val="20"/>
                <w:szCs w:val="20"/>
              </w:rPr>
              <w:t xml:space="preserve"> (CLLD)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1FEEBA3E" w:rsidR="006E6251" w:rsidRPr="00882709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882709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FB0993">
              <w:rPr>
                <w:rFonts w:cs="Arial"/>
                <w:b/>
                <w:sz w:val="20"/>
                <w:szCs w:val="20"/>
              </w:rPr>
              <w:t>3</w:t>
            </w:r>
            <w:r w:rsidR="00331076" w:rsidRPr="00882709">
              <w:rPr>
                <w:rFonts w:cs="Arial"/>
                <w:b/>
                <w:sz w:val="20"/>
                <w:szCs w:val="20"/>
              </w:rPr>
              <w:t xml:space="preserve">: MAS </w:t>
            </w:r>
            <w:r w:rsidR="00F2479D" w:rsidRPr="00882709">
              <w:rPr>
                <w:rFonts w:cs="Arial"/>
                <w:b/>
                <w:sz w:val="20"/>
                <w:szCs w:val="20"/>
              </w:rPr>
              <w:t>Aktivios, z.s.</w:t>
            </w:r>
            <w:r w:rsidR="00331076" w:rsidRPr="00882709">
              <w:rPr>
                <w:rFonts w:cs="Arial"/>
                <w:b/>
                <w:sz w:val="20"/>
                <w:szCs w:val="20"/>
              </w:rPr>
              <w:t xml:space="preserve"> – IROP – </w:t>
            </w:r>
            <w:r w:rsidR="008F1B30" w:rsidRPr="00882709">
              <w:rPr>
                <w:rFonts w:cs="Arial"/>
                <w:b/>
                <w:sz w:val="20"/>
                <w:szCs w:val="20"/>
              </w:rPr>
              <w:t xml:space="preserve">Infrastruktura pro </w:t>
            </w:r>
            <w:r w:rsidR="00FB0993">
              <w:rPr>
                <w:rFonts w:cs="Arial"/>
                <w:b/>
                <w:sz w:val="20"/>
                <w:szCs w:val="20"/>
              </w:rPr>
              <w:t xml:space="preserve">cestovní </w:t>
            </w:r>
            <w:proofErr w:type="gramStart"/>
            <w:r w:rsidR="00FB0993">
              <w:rPr>
                <w:rFonts w:cs="Arial"/>
                <w:b/>
                <w:sz w:val="20"/>
                <w:szCs w:val="20"/>
              </w:rPr>
              <w:t>ruch</w:t>
            </w:r>
            <w:r w:rsidR="00CC437D" w:rsidRPr="0088270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3335D" w:rsidRPr="00882709">
              <w:rPr>
                <w:rFonts w:cs="Arial"/>
                <w:b/>
                <w:sz w:val="20"/>
                <w:szCs w:val="20"/>
              </w:rPr>
              <w:t>- I</w:t>
            </w:r>
            <w:proofErr w:type="gramEnd"/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7"/>
        <w:gridCol w:w="5015"/>
      </w:tblGrid>
      <w:tr w:rsidR="00991E7D" w:rsidRPr="00586900" w14:paraId="1421F347" w14:textId="77777777" w:rsidTr="003C4A98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4811AE47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 </w:t>
            </w:r>
            <w:r w:rsidR="00FB0993">
              <w:rPr>
                <w:color w:val="FF0000"/>
                <w:sz w:val="20"/>
                <w:szCs w:val="20"/>
              </w:rPr>
              <w:t>86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FB0993">
              <w:rPr>
                <w:color w:val="FF0000"/>
                <w:sz w:val="20"/>
                <w:szCs w:val="20"/>
              </w:rPr>
              <w:t>Cestovní ruch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6377638D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Cíle </w:t>
            </w:r>
            <w:r w:rsidR="00070398">
              <w:rPr>
                <w:b/>
              </w:rPr>
              <w:t xml:space="preserve">a přínosy </w:t>
            </w:r>
            <w:r w:rsidRPr="00586900">
              <w:rPr>
                <w:b/>
              </w:rPr>
              <w:t>projektu:</w:t>
            </w:r>
          </w:p>
        </w:tc>
      </w:tr>
      <w:tr w:rsidR="00991E7D" w:rsidRPr="00586900" w14:paraId="4C3770E2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3B497C80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</w:t>
            </w:r>
            <w:r w:rsidR="00070398">
              <w:rPr>
                <w:color w:val="FF0000"/>
                <w:sz w:val="20"/>
                <w:szCs w:val="20"/>
              </w:rPr>
              <w:t>, čeho chcete dosáhnout realizováním projektu, co chcete zlepšit. Jaké přínosy bude mít realizace projektu pro jednotlivé cílové skupiny.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1AD3E96D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lastRenderedPageBreak/>
              <w:t>zdůvodněte potřebnost projektu</w:t>
            </w:r>
            <w:r w:rsidR="00070398">
              <w:rPr>
                <w:color w:val="FF0000"/>
                <w:sz w:val="20"/>
                <w:szCs w:val="20"/>
              </w:rPr>
              <w:t>, identifikace problému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3538A62E" w14:textId="77777777" w:rsidR="006C1AA6" w:rsidRDefault="006C1AA6" w:rsidP="00755FF3">
            <w:pPr>
              <w:rPr>
                <w:b/>
                <w:sz w:val="20"/>
                <w:szCs w:val="20"/>
              </w:rPr>
            </w:pPr>
          </w:p>
          <w:p w14:paraId="4814A57C" w14:textId="77777777" w:rsidR="006C1AA6" w:rsidRDefault="006C1AA6" w:rsidP="00755FF3">
            <w:pPr>
              <w:rPr>
                <w:b/>
                <w:sz w:val="20"/>
                <w:szCs w:val="20"/>
              </w:rPr>
            </w:pPr>
          </w:p>
          <w:p w14:paraId="54737B70" w14:textId="77777777" w:rsidR="006C1AA6" w:rsidRDefault="006C1AA6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6C1AA6" w:rsidRPr="00586900" w:rsidRDefault="006C1AA6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64012F44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</w:t>
            </w:r>
            <w:r w:rsidR="000D0E0B">
              <w:rPr>
                <w:color w:val="FF0000"/>
                <w:sz w:val="20"/>
                <w:szCs w:val="20"/>
              </w:rPr>
              <w:t xml:space="preserve">přesná </w:t>
            </w:r>
            <w:r w:rsidRPr="00586900">
              <w:rPr>
                <w:color w:val="FF0000"/>
                <w:sz w:val="20"/>
                <w:szCs w:val="20"/>
              </w:rPr>
              <w:t>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3FE4707D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 xml:space="preserve">Počet obyvatel obce, kde je projekt realizován </w:t>
            </w:r>
            <w:r w:rsidRPr="006F2B4F">
              <w:rPr>
                <w:b/>
                <w:bCs/>
                <w:sz w:val="20"/>
                <w:szCs w:val="20"/>
              </w:rPr>
              <w:t>(k 1. 1. 202</w:t>
            </w:r>
            <w:r w:rsidR="00D8561C">
              <w:rPr>
                <w:b/>
                <w:bCs/>
                <w:sz w:val="20"/>
                <w:szCs w:val="20"/>
              </w:rPr>
              <w:t>3</w:t>
            </w:r>
            <w:r w:rsidRPr="006F2B4F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0E22D9" w:rsidRPr="00586900" w14:paraId="0D46B68D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3B74F9" w14:textId="5E09CFDD" w:rsidR="00325C4C" w:rsidRPr="00CD77D8" w:rsidRDefault="000E22D9" w:rsidP="00325C4C">
            <w:pPr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počet </w:t>
            </w:r>
            <w:r w:rsidRPr="00CD77D8">
              <w:rPr>
                <w:color w:val="FF0000"/>
                <w:sz w:val="20"/>
                <w:szCs w:val="20"/>
              </w:rPr>
              <w:t>obyvatel</w:t>
            </w:r>
            <w:r w:rsidR="00AA1CE1" w:rsidRPr="00CD77D8">
              <w:rPr>
                <w:color w:val="FF0000"/>
                <w:sz w:val="20"/>
                <w:szCs w:val="20"/>
              </w:rPr>
              <w:t>. Počet obyvatel je jedním z kritérií, které vstupují do věcného hodnocení projektového záměru.</w:t>
            </w:r>
            <w:r w:rsidR="00325C4C" w:rsidRPr="00CD77D8">
              <w:rPr>
                <w:sz w:val="20"/>
                <w:szCs w:val="20"/>
              </w:rPr>
              <w:t xml:space="preserve"> </w:t>
            </w:r>
            <w:hyperlink r:id="rId14" w:history="1">
              <w:r w:rsidR="00325C4C" w:rsidRPr="00CD77D8">
                <w:rPr>
                  <w:color w:val="0000FF"/>
                  <w:sz w:val="20"/>
                  <w:szCs w:val="20"/>
                  <w:u w:val="single"/>
                </w:rPr>
                <w:t xml:space="preserve">Počet obyvatel v </w:t>
              </w:r>
              <w:proofErr w:type="gramStart"/>
              <w:r w:rsidR="00325C4C" w:rsidRPr="00CD77D8">
                <w:rPr>
                  <w:color w:val="0000FF"/>
                  <w:sz w:val="20"/>
                  <w:szCs w:val="20"/>
                  <w:u w:val="single"/>
                </w:rPr>
                <w:t>obcích - k</w:t>
              </w:r>
              <w:proofErr w:type="gramEnd"/>
              <w:r w:rsidR="00325C4C" w:rsidRPr="00CD77D8">
                <w:rPr>
                  <w:color w:val="0000FF"/>
                  <w:sz w:val="20"/>
                  <w:szCs w:val="20"/>
                  <w:u w:val="single"/>
                </w:rPr>
                <w:t xml:space="preserve"> 1. 1. 2023 | ČSÚ (czso.cz)</w:t>
              </w:r>
            </w:hyperlink>
          </w:p>
          <w:p w14:paraId="51804D88" w14:textId="4B0370C3" w:rsidR="000E22D9" w:rsidRDefault="000E22D9" w:rsidP="00991E7D">
            <w:pPr>
              <w:rPr>
                <w:color w:val="FF0000"/>
                <w:sz w:val="20"/>
                <w:szCs w:val="20"/>
              </w:rPr>
            </w:pPr>
          </w:p>
          <w:p w14:paraId="2C8AF02D" w14:textId="49C2CDAC" w:rsidR="00AA1CE1" w:rsidRPr="000E22D9" w:rsidRDefault="00AA1CE1" w:rsidP="00991E7D">
            <w:pPr>
              <w:rPr>
                <w:color w:val="FF0000"/>
                <w:sz w:val="20"/>
                <w:szCs w:val="20"/>
              </w:rPr>
            </w:pP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38F690E" w14:textId="0883ADB1" w:rsidR="00105F46" w:rsidRDefault="005F0EF4" w:rsidP="0091235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věcné hodnocení je nutné uvést</w:t>
            </w:r>
            <w:r w:rsidR="00132EF7">
              <w:rPr>
                <w:color w:val="FF0000"/>
                <w:sz w:val="20"/>
                <w:szCs w:val="20"/>
              </w:rPr>
              <w:t xml:space="preserve"> připravenost projektu z hlediska stavebního řízení. </w:t>
            </w:r>
            <w:r w:rsidR="0091235B">
              <w:rPr>
                <w:color w:val="FF0000"/>
                <w:sz w:val="20"/>
                <w:szCs w:val="20"/>
              </w:rPr>
              <w:t xml:space="preserve"> Jedná se o jedno z kritérií, které vstupují do věcného hodnocení projektového záměru.</w:t>
            </w:r>
            <w:r w:rsidR="00105F46">
              <w:rPr>
                <w:color w:val="FF0000"/>
                <w:sz w:val="20"/>
                <w:szCs w:val="20"/>
              </w:rPr>
              <w:t xml:space="preserve"> Toto je také třeba doložit relevantní přílohou k projektovému záměru.</w:t>
            </w:r>
          </w:p>
          <w:p w14:paraId="26560290" w14:textId="77777777" w:rsidR="00105F46" w:rsidRDefault="00105F46" w:rsidP="0091235B">
            <w:pPr>
              <w:rPr>
                <w:color w:val="FF0000"/>
                <w:sz w:val="20"/>
                <w:szCs w:val="20"/>
              </w:rPr>
            </w:pPr>
          </w:p>
          <w:p w14:paraId="035A1FB4" w14:textId="2FBDFB14" w:rsidR="0091235B" w:rsidRDefault="00105F46" w:rsidP="0091235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 nestavebních projektů popište nejpokročilejší stupeň připravenosti (např. výběr zhotovitele/dodavatele, uzavřená smlouva o dílo atp.). Jako přílohu projektového záměru doložte čestné prohlášení, že realizace projektu nepodléhá stavebnímu řízení.</w:t>
            </w:r>
          </w:p>
          <w:p w14:paraId="40A495FA" w14:textId="337EE767" w:rsidR="005F0EF4" w:rsidRDefault="005F0EF4" w:rsidP="005F0EF4">
            <w:pPr>
              <w:rPr>
                <w:color w:val="FF0000"/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3C4A98">
        <w:tc>
          <w:tcPr>
            <w:tcW w:w="4027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5" w:type="dxa"/>
            <w:tcBorders>
              <w:right w:val="single" w:sz="12" w:space="0" w:color="auto"/>
            </w:tcBorders>
          </w:tcPr>
          <w:p w14:paraId="34565081" w14:textId="427027C7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422669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Počítejte, že hodnocení záměru ze strany MAS může</w:t>
            </w:r>
            <w:r w:rsidR="00163336">
              <w:rPr>
                <w:color w:val="FF0000"/>
                <w:sz w:val="20"/>
                <w:szCs w:val="20"/>
              </w:rPr>
              <w:t xml:space="preserve"> trvat přibližně 60 dnů a zároveň platnost V</w:t>
            </w:r>
            <w:r w:rsidRPr="00586900">
              <w:rPr>
                <w:color w:val="FF0000"/>
                <w:sz w:val="20"/>
                <w:szCs w:val="20"/>
              </w:rPr>
              <w:t xml:space="preserve">yjádření o souladu záměru se SCLLD MAS </w:t>
            </w:r>
            <w:r w:rsidR="00C9232A">
              <w:rPr>
                <w:color w:val="FF0000"/>
                <w:sz w:val="20"/>
                <w:szCs w:val="20"/>
              </w:rPr>
              <w:t>Aktivios, z.s.</w:t>
            </w:r>
            <w:r w:rsidR="00163336">
              <w:rPr>
                <w:color w:val="FF0000"/>
                <w:sz w:val="20"/>
                <w:szCs w:val="20"/>
              </w:rPr>
              <w:t>, je časově omezena.</w:t>
            </w:r>
          </w:p>
        </w:tc>
      </w:tr>
      <w:tr w:rsidR="00991E7D" w:rsidRPr="00586900" w14:paraId="3B0E3A63" w14:textId="77777777" w:rsidTr="003C4A98">
        <w:tc>
          <w:tcPr>
            <w:tcW w:w="4027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5" w:type="dxa"/>
            <w:tcBorders>
              <w:right w:val="single" w:sz="12" w:space="0" w:color="auto"/>
            </w:tcBorders>
          </w:tcPr>
          <w:p w14:paraId="58366D5C" w14:textId="279F7459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741A8E">
              <w:rPr>
                <w:color w:val="FF0000"/>
                <w:sz w:val="20"/>
                <w:szCs w:val="20"/>
              </w:rPr>
              <w:t>d</w:t>
            </w:r>
            <w:r w:rsidR="00422669">
              <w:rPr>
                <w:color w:val="FF0000"/>
                <w:sz w:val="20"/>
                <w:szCs w:val="20"/>
              </w:rPr>
              <w:t>en</w:t>
            </w:r>
            <w:r w:rsidR="00741A8E">
              <w:rPr>
                <w:color w:val="FF0000"/>
                <w:sz w:val="20"/>
                <w:szCs w:val="20"/>
              </w:rPr>
              <w:t>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3C4A98">
        <w:tc>
          <w:tcPr>
            <w:tcW w:w="4027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5" w:type="dxa"/>
            <w:tcBorders>
              <w:right w:val="single" w:sz="12" w:space="0" w:color="auto"/>
            </w:tcBorders>
          </w:tcPr>
          <w:p w14:paraId="369BFD37" w14:textId="67CBFDA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741A8E">
              <w:rPr>
                <w:color w:val="FF0000"/>
                <w:sz w:val="20"/>
                <w:szCs w:val="20"/>
              </w:rPr>
              <w:t>d</w:t>
            </w:r>
            <w:r w:rsidR="00422669">
              <w:rPr>
                <w:color w:val="FF0000"/>
                <w:sz w:val="20"/>
                <w:szCs w:val="20"/>
              </w:rPr>
              <w:t>en</w:t>
            </w:r>
            <w:r w:rsidR="00741A8E">
              <w:rPr>
                <w:color w:val="FF0000"/>
                <w:sz w:val="20"/>
                <w:szCs w:val="20"/>
              </w:rPr>
              <w:t>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3C4A98" w:rsidRPr="00586900" w14:paraId="64586A5E" w14:textId="77777777" w:rsidTr="003C4A9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3C4A98" w:rsidRPr="00586900" w:rsidRDefault="003C4A98" w:rsidP="003C4A98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3C4A98" w:rsidRPr="00586900" w14:paraId="2B839182" w14:textId="77777777" w:rsidTr="006C1AA6">
        <w:trPr>
          <w:trHeight w:val="1354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3C4A98" w:rsidRPr="00586900" w:rsidRDefault="003C4A98" w:rsidP="003C4A98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1EABE8D4" w14:textId="77777777" w:rsidR="003C4A98" w:rsidRPr="00586900" w:rsidRDefault="003C4A98" w:rsidP="003C4A98">
            <w:pPr>
              <w:rPr>
                <w:sz w:val="20"/>
                <w:szCs w:val="20"/>
              </w:rPr>
            </w:pPr>
          </w:p>
          <w:p w14:paraId="440FC19E" w14:textId="77777777" w:rsidR="003C4A98" w:rsidRPr="00586900" w:rsidRDefault="003C4A98" w:rsidP="003C4A98">
            <w:pPr>
              <w:rPr>
                <w:sz w:val="20"/>
                <w:szCs w:val="20"/>
              </w:rPr>
            </w:pPr>
          </w:p>
        </w:tc>
      </w:tr>
    </w:tbl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081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59057969" w:rsidR="00D0081F" w:rsidRPr="001C1F58" w:rsidRDefault="00D0081F" w:rsidP="00D008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nezpůsobilé výdaje (CZK)</w:t>
            </w:r>
          </w:p>
        </w:tc>
        <w:tc>
          <w:tcPr>
            <w:tcW w:w="5326" w:type="dxa"/>
            <w:vAlign w:val="center"/>
          </w:tcPr>
          <w:p w14:paraId="2F33475A" w14:textId="05C4276F" w:rsidR="00D0081F" w:rsidRPr="00D4378B" w:rsidRDefault="00D0081F" w:rsidP="00D0081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Uv</w:t>
            </w:r>
            <w:r w:rsidR="00495925">
              <w:rPr>
                <w:rFonts w:cs="Arial"/>
                <w:color w:val="FF0000"/>
                <w:szCs w:val="20"/>
              </w:rPr>
              <w:t>e</w:t>
            </w:r>
            <w:r>
              <w:rPr>
                <w:rFonts w:cs="Arial"/>
                <w:color w:val="FF0000"/>
                <w:szCs w:val="20"/>
              </w:rPr>
              <w:t xml:space="preserve">ďte Celkové nezpůsobilé výdaje projektu, pokud v projektu nejsou nezpůsobilé výdaje uveďte nulovou hodnotu </w:t>
            </w:r>
          </w:p>
        </w:tc>
        <w:tc>
          <w:tcPr>
            <w:tcW w:w="702" w:type="dxa"/>
            <w:vAlign w:val="center"/>
          </w:tcPr>
          <w:p w14:paraId="5D452401" w14:textId="6C3675FB" w:rsidR="00D0081F" w:rsidRPr="001C1F58" w:rsidRDefault="00D0081F" w:rsidP="00D008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D0081F" w14:paraId="2CF84BD3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74E776D5" w14:textId="0084EBBF" w:rsidR="00D0081F" w:rsidRDefault="00D0081F" w:rsidP="00D008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6EC6C010" w14:textId="0654B7B6" w:rsidR="00D0081F" w:rsidRDefault="00D0081F" w:rsidP="00D0081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59C31B39" w14:textId="7B1872DE" w:rsidR="00D0081F" w:rsidRPr="001C1F58" w:rsidRDefault="00D0081F" w:rsidP="00D0081F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081F" w14:paraId="541136CB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6EC44B8C" w14:textId="73FBAB5C" w:rsidR="00D0081F" w:rsidRDefault="00D0081F" w:rsidP="00D008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Podpora EU – EFFR (CZK)</w:t>
            </w:r>
          </w:p>
        </w:tc>
        <w:tc>
          <w:tcPr>
            <w:tcW w:w="5326" w:type="dxa"/>
            <w:vAlign w:val="center"/>
          </w:tcPr>
          <w:p w14:paraId="7B932B4C" w14:textId="18E9DAFD" w:rsidR="00D0081F" w:rsidRDefault="00D0081F" w:rsidP="00D0081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Dotace EU je dle specifických pravidel je kap. 4 </w:t>
            </w:r>
            <w:r w:rsidRPr="006B6A03">
              <w:rPr>
                <w:rFonts w:cs="Arial"/>
                <w:color w:val="FF0000"/>
                <w:szCs w:val="20"/>
              </w:rPr>
              <w:t>4.1 Struktura financován</w:t>
            </w:r>
            <w:r>
              <w:rPr>
                <w:rFonts w:cs="Arial"/>
                <w:color w:val="FF0000"/>
                <w:szCs w:val="20"/>
              </w:rPr>
              <w:t xml:space="preserve">í ve výši </w:t>
            </w:r>
            <w:proofErr w:type="gramStart"/>
            <w:r>
              <w:rPr>
                <w:rFonts w:cs="Arial"/>
                <w:color w:val="FF0000"/>
                <w:szCs w:val="20"/>
              </w:rPr>
              <w:t>80%</w:t>
            </w:r>
            <w:proofErr w:type="gramEnd"/>
            <w:r>
              <w:rPr>
                <w:rFonts w:cs="Arial"/>
                <w:color w:val="FF0000"/>
                <w:szCs w:val="20"/>
              </w:rPr>
              <w:t xml:space="preserve"> z celkových způsobilých výdajů projektu</w:t>
            </w:r>
          </w:p>
        </w:tc>
        <w:tc>
          <w:tcPr>
            <w:tcW w:w="702" w:type="dxa"/>
            <w:vAlign w:val="center"/>
          </w:tcPr>
          <w:p w14:paraId="57F1031C" w14:textId="5E82EB68" w:rsidR="00D0081F" w:rsidRPr="001C1F58" w:rsidRDefault="00D0081F" w:rsidP="00D008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2835"/>
        <w:gridCol w:w="1868"/>
        <w:gridCol w:w="1313"/>
        <w:gridCol w:w="1198"/>
      </w:tblGrid>
      <w:tr w:rsidR="00991E7D" w:rsidRPr="00D62762" w14:paraId="52964EF1" w14:textId="77777777" w:rsidTr="007E52D4">
        <w:trPr>
          <w:trHeight w:val="885"/>
          <w:jc w:val="center"/>
        </w:trPr>
        <w:tc>
          <w:tcPr>
            <w:tcW w:w="1828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4C2221" w:rsidRPr="001C1F58" w14:paraId="76199121" w14:textId="77777777" w:rsidTr="007E52D4">
        <w:trPr>
          <w:trHeight w:val="255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686E54DA" w14:textId="6A8E5355" w:rsidR="004C2221" w:rsidRDefault="00FB0993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910 052</w:t>
            </w:r>
          </w:p>
          <w:p w14:paraId="6B5F678A" w14:textId="5E0F8F21" w:rsidR="00AC1CEE" w:rsidRPr="007E52D4" w:rsidRDefault="00AC1CEE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E52D4">
              <w:rPr>
                <w:rFonts w:cs="Arial"/>
                <w:b/>
                <w:sz w:val="20"/>
                <w:szCs w:val="20"/>
              </w:rPr>
              <w:t xml:space="preserve">(indikátor </w:t>
            </w:r>
            <w:r w:rsidR="00FB0993" w:rsidRPr="007E52D4">
              <w:rPr>
                <w:rFonts w:cs="Arial"/>
                <w:b/>
                <w:sz w:val="20"/>
                <w:szCs w:val="20"/>
              </w:rPr>
              <w:t>výsledku</w:t>
            </w:r>
            <w:r w:rsidRPr="007E52D4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613F9DD" w14:textId="711FD252" w:rsidR="004C2221" w:rsidRPr="00B93248" w:rsidRDefault="00FB0993" w:rsidP="00B93248">
            <w:pPr>
              <w:spacing w:after="0" w:line="240" w:lineRule="auto"/>
              <w:jc w:val="both"/>
              <w:rPr>
                <w:rFonts w:cs="Arial"/>
                <w:bCs/>
              </w:rPr>
            </w:pPr>
            <w:bookmarkStart w:id="1" w:name="_Toc163564970"/>
            <w:r w:rsidRPr="00164991">
              <w:t>Počet návštěvníků podpořených lokalit v oblasti kultury a cestovního ruchu</w:t>
            </w:r>
            <w:bookmarkEnd w:id="1"/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0765804F" w14:textId="20A3DE27" w:rsidR="004C2221" w:rsidRPr="00586900" w:rsidRDefault="00FB0993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DC0DFB">
              <w:t>návštěvníci/rok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BF81530" w14:textId="51CE0EB7" w:rsidR="004C2221" w:rsidRPr="00586900" w:rsidRDefault="004C2221" w:rsidP="004C222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5751BF02" w14:textId="691759D8" w:rsidR="004C2221" w:rsidRPr="00586900" w:rsidRDefault="004C2221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C2221" w:rsidRPr="001C1F58" w14:paraId="0E3CEE61" w14:textId="77777777" w:rsidTr="007E52D4">
        <w:trPr>
          <w:trHeight w:val="255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434901AC" w14:textId="53B845DC" w:rsidR="004C2221" w:rsidRPr="00CA4283" w:rsidRDefault="00CA4283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A4283">
              <w:rPr>
                <w:rFonts w:cs="Arial"/>
                <w:b/>
                <w:szCs w:val="20"/>
              </w:rPr>
              <w:t>910 201</w:t>
            </w:r>
          </w:p>
          <w:p w14:paraId="4DE1A449" w14:textId="2E8FA4DC" w:rsidR="00AC1CEE" w:rsidRPr="00CA4283" w:rsidRDefault="00AC1CEE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A4283">
              <w:rPr>
                <w:rFonts w:cs="Arial"/>
                <w:b/>
                <w:sz w:val="20"/>
                <w:szCs w:val="20"/>
              </w:rPr>
              <w:t>(indikátor výs</w:t>
            </w:r>
            <w:r w:rsidR="00CA4283" w:rsidRPr="00CA4283">
              <w:rPr>
                <w:rFonts w:cs="Arial"/>
                <w:b/>
                <w:sz w:val="20"/>
                <w:szCs w:val="20"/>
              </w:rPr>
              <w:t>tupu</w:t>
            </w:r>
            <w:r w:rsidRPr="00CA4283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46863C0" w14:textId="5F5CE0D0" w:rsidR="004C2221" w:rsidRPr="00CA4283" w:rsidRDefault="00CA4283" w:rsidP="00B93248">
            <w:pPr>
              <w:spacing w:after="0" w:line="240" w:lineRule="auto"/>
              <w:jc w:val="both"/>
              <w:rPr>
                <w:rFonts w:cs="Arial"/>
                <w:bCs/>
              </w:rPr>
            </w:pPr>
            <w:bookmarkStart w:id="2" w:name="_Toc163564971"/>
            <w:r w:rsidRPr="00CA4283">
              <w:t>Nová či modernizovaná turistická infocentra</w:t>
            </w:r>
            <w:bookmarkEnd w:id="2"/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13C7B7C9" w14:textId="2FF0054E" w:rsidR="004C2221" w:rsidRPr="00CA4283" w:rsidRDefault="00CA4283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A4283">
              <w:t>TIC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FE2573C" w14:textId="3FDEABBB" w:rsidR="004C2221" w:rsidRPr="00CA4283" w:rsidRDefault="004C2221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A4283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593981FF" w14:textId="5C6EECDD" w:rsidR="004C2221" w:rsidRPr="00CA4283" w:rsidRDefault="004C2221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CA4283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C2221" w:rsidRPr="001C1F58" w14:paraId="07DC50F9" w14:textId="77777777" w:rsidTr="007E52D4">
        <w:trPr>
          <w:trHeight w:val="255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0A1E546A" w14:textId="641A23E1" w:rsidR="004C2221" w:rsidRPr="007E52D4" w:rsidRDefault="00FF27B1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E52D4">
              <w:rPr>
                <w:rFonts w:cs="Arial"/>
                <w:b/>
                <w:szCs w:val="20"/>
              </w:rPr>
              <w:t>740 010</w:t>
            </w:r>
          </w:p>
          <w:p w14:paraId="299F0B51" w14:textId="4CC29E37" w:rsidR="00AC1CEE" w:rsidRPr="007E52D4" w:rsidRDefault="00AC1CEE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E52D4">
              <w:rPr>
                <w:rFonts w:cs="Arial"/>
                <w:b/>
                <w:sz w:val="20"/>
                <w:szCs w:val="20"/>
              </w:rPr>
              <w:t>(indikátor v</w:t>
            </w:r>
            <w:r w:rsidR="00D761F3" w:rsidRPr="007E52D4">
              <w:rPr>
                <w:rFonts w:cs="Arial"/>
                <w:b/>
                <w:sz w:val="20"/>
                <w:szCs w:val="20"/>
              </w:rPr>
              <w:t>ýs</w:t>
            </w:r>
            <w:r w:rsidR="007E52D4" w:rsidRPr="007E52D4">
              <w:rPr>
                <w:rFonts w:cs="Arial"/>
                <w:b/>
                <w:sz w:val="20"/>
                <w:szCs w:val="20"/>
              </w:rPr>
              <w:t>tupu</w:t>
            </w:r>
            <w:r w:rsidRPr="007E52D4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581F452" w14:textId="59DF59BC" w:rsidR="004C2221" w:rsidRPr="007E52D4" w:rsidRDefault="00FF27B1" w:rsidP="00B93248">
            <w:pPr>
              <w:spacing w:after="0" w:line="240" w:lineRule="auto"/>
              <w:jc w:val="both"/>
              <w:rPr>
                <w:rFonts w:cs="Arial"/>
                <w:bCs/>
              </w:rPr>
            </w:pPr>
            <w:bookmarkStart w:id="3" w:name="_Toc163564972"/>
            <w:r w:rsidRPr="007E52D4">
              <w:t>Parkovací místa pro vozidla</w:t>
            </w:r>
            <w:bookmarkEnd w:id="3"/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7586DC15" w14:textId="680A1A97" w:rsidR="004C2221" w:rsidRPr="007E52D4" w:rsidRDefault="007E52D4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E52D4">
              <w:t>parkovací místa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1B5F9DA" w14:textId="2681C283" w:rsidR="004C2221" w:rsidRPr="007E52D4" w:rsidRDefault="004C2221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E52D4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4D3F1382" w14:textId="5B0FE877" w:rsidR="004C2221" w:rsidRPr="007E52D4" w:rsidRDefault="004C2221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7E52D4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C2221" w:rsidRPr="001C1F58" w14:paraId="33DE6AC4" w14:textId="77777777" w:rsidTr="007E52D4">
        <w:trPr>
          <w:trHeight w:val="255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0C9838BA" w14:textId="217C2AA8" w:rsidR="00AC1CEE" w:rsidRPr="007826D2" w:rsidRDefault="007826D2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826D2">
              <w:rPr>
                <w:rFonts w:cs="Arial"/>
                <w:b/>
                <w:szCs w:val="20"/>
              </w:rPr>
              <w:t>910 401</w:t>
            </w:r>
          </w:p>
          <w:p w14:paraId="2A1B25C4" w14:textId="3E443367" w:rsidR="004C2221" w:rsidRPr="007826D2" w:rsidRDefault="00C76447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826D2">
              <w:rPr>
                <w:rFonts w:cs="Arial"/>
                <w:bCs/>
                <w:szCs w:val="20"/>
              </w:rPr>
              <w:t>(</w:t>
            </w:r>
            <w:r w:rsidR="00AC1CEE" w:rsidRPr="00D45B42">
              <w:rPr>
                <w:rFonts w:cs="Arial"/>
                <w:b/>
                <w:sz w:val="20"/>
                <w:szCs w:val="20"/>
              </w:rPr>
              <w:t>indikátor výstupu)</w:t>
            </w:r>
            <w:r w:rsidR="00AC1CEE" w:rsidRPr="007826D2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E84AAB7" w14:textId="1F777EB4" w:rsidR="004C2221" w:rsidRPr="007826D2" w:rsidRDefault="007826D2" w:rsidP="00B93248">
            <w:pPr>
              <w:spacing w:after="0" w:line="240" w:lineRule="auto"/>
              <w:jc w:val="both"/>
              <w:rPr>
                <w:rFonts w:cs="Arial"/>
                <w:bCs/>
              </w:rPr>
            </w:pPr>
            <w:bookmarkStart w:id="4" w:name="_Toc163564974"/>
            <w:r w:rsidRPr="007826D2">
              <w:t>Délka vybudované či rekonstruované sítě značení turistických tras</w:t>
            </w:r>
            <w:bookmarkEnd w:id="4"/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72961880" w14:textId="564490E5" w:rsidR="004C2221" w:rsidRPr="007826D2" w:rsidRDefault="007826D2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826D2"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336E79B" w14:textId="0C560502" w:rsidR="004C2221" w:rsidRPr="007826D2" w:rsidRDefault="004C2221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826D2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6C5FD795" w14:textId="5B0AE728" w:rsidR="004C2221" w:rsidRPr="007826D2" w:rsidRDefault="004C2221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7826D2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C2221" w:rsidRPr="001C1F58" w14:paraId="6A045F2C" w14:textId="77777777" w:rsidTr="007E52D4">
        <w:trPr>
          <w:trHeight w:val="922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54C75001" w14:textId="5C061FE6" w:rsidR="004C2221" w:rsidRPr="00156A98" w:rsidRDefault="00156A98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56A98">
              <w:rPr>
                <w:rFonts w:cs="Arial"/>
                <w:b/>
                <w:szCs w:val="20"/>
              </w:rPr>
              <w:t>910 301</w:t>
            </w:r>
          </w:p>
          <w:p w14:paraId="5140AD4F" w14:textId="6352D682" w:rsidR="00AC1CEE" w:rsidRPr="00156A98" w:rsidRDefault="00AC1CEE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56A98">
              <w:rPr>
                <w:rFonts w:cs="Arial"/>
                <w:b/>
                <w:szCs w:val="20"/>
              </w:rPr>
              <w:t>(</w:t>
            </w:r>
            <w:r w:rsidRPr="00D45B42">
              <w:rPr>
                <w:rFonts w:cs="Arial"/>
                <w:b/>
                <w:sz w:val="20"/>
                <w:szCs w:val="20"/>
              </w:rPr>
              <w:t>indikátor výstupu</w:t>
            </w:r>
            <w:r w:rsidRPr="00156A98"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94585A5" w14:textId="3D6B3434" w:rsidR="004C2221" w:rsidRPr="00156A98" w:rsidRDefault="00156A98" w:rsidP="00B93248">
            <w:pPr>
              <w:spacing w:after="0" w:line="240" w:lineRule="auto"/>
              <w:jc w:val="both"/>
              <w:rPr>
                <w:rFonts w:cs="Arial"/>
                <w:bCs/>
              </w:rPr>
            </w:pPr>
            <w:bookmarkStart w:id="5" w:name="_Toc163564975"/>
            <w:r w:rsidRPr="00156A98">
              <w:t>Vybudovaná nebo vybavená doprovodná infrastruktura pro turismus</w:t>
            </w:r>
            <w:bookmarkEnd w:id="5"/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3B24CB88" w14:textId="4E2F9851" w:rsidR="004C2221" w:rsidRPr="00156A98" w:rsidRDefault="00156A98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56A98">
              <w:t>doprovodná turistická INFRA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DA0E9EA" w14:textId="4C52C3AB" w:rsidR="004C2221" w:rsidRPr="00156A98" w:rsidRDefault="004C2221" w:rsidP="004C222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156A98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713A70C0" w14:textId="1E2964AB" w:rsidR="004C2221" w:rsidRPr="00156A98" w:rsidRDefault="004C2221" w:rsidP="004C222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156A98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C2221" w:rsidRPr="001C1F58" w14:paraId="7D9EE106" w14:textId="77777777" w:rsidTr="007E52D4">
        <w:trPr>
          <w:trHeight w:val="255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1DD88FE0" w14:textId="74AA1887" w:rsidR="004C2221" w:rsidRPr="00C70163" w:rsidRDefault="00C70163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70163">
              <w:rPr>
                <w:rFonts w:cs="Arial"/>
                <w:b/>
                <w:szCs w:val="20"/>
              </w:rPr>
              <w:t>910 601</w:t>
            </w:r>
          </w:p>
          <w:p w14:paraId="44C40AB4" w14:textId="15FF85BD" w:rsidR="00AC1CEE" w:rsidRPr="00D45B42" w:rsidRDefault="00AC1CEE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45B42">
              <w:rPr>
                <w:rFonts w:cs="Arial"/>
                <w:b/>
                <w:sz w:val="20"/>
                <w:szCs w:val="20"/>
              </w:rPr>
              <w:t>(indikátor výstupu)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FDB6E90" w14:textId="39173AC8" w:rsidR="004C2221" w:rsidRPr="00C70163" w:rsidRDefault="00C70163" w:rsidP="00B93248">
            <w:pPr>
              <w:spacing w:after="0" w:line="240" w:lineRule="auto"/>
              <w:jc w:val="both"/>
              <w:rPr>
                <w:rFonts w:cs="Arial"/>
                <w:bCs/>
              </w:rPr>
            </w:pPr>
            <w:bookmarkStart w:id="6" w:name="_Toc163564976"/>
            <w:r w:rsidRPr="00C70163">
              <w:t>Vybudovaná nebo vybavená doprovodná infrastruktura pro vodní a vodáckou turistiku</w:t>
            </w:r>
            <w:bookmarkEnd w:id="6"/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102D559E" w14:textId="31D154D6" w:rsidR="004C2221" w:rsidRPr="00C70163" w:rsidRDefault="00C70163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70163">
              <w:t>prvky infrastruktury pro vodní a vodáckou turistiku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63A56EE" w14:textId="116A625D" w:rsidR="004C2221" w:rsidRPr="00C70163" w:rsidRDefault="004C2221" w:rsidP="004C222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C70163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7725BBB4" w14:textId="1B69E2AB" w:rsidR="004C2221" w:rsidRPr="00C70163" w:rsidRDefault="004C2221" w:rsidP="004C222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C70163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C2221" w:rsidRPr="001C1F58" w14:paraId="29973567" w14:textId="77777777" w:rsidTr="007E52D4">
        <w:trPr>
          <w:trHeight w:val="270"/>
          <w:jc w:val="center"/>
        </w:trPr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36C19EF9" w14:textId="30681C47" w:rsidR="004C2221" w:rsidRPr="0007215A" w:rsidRDefault="0007215A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7215A">
              <w:rPr>
                <w:rFonts w:cs="Arial"/>
                <w:b/>
                <w:szCs w:val="20"/>
              </w:rPr>
              <w:t>305 002</w:t>
            </w:r>
          </w:p>
          <w:p w14:paraId="1DFA293C" w14:textId="0B825C0D" w:rsidR="00AC1CEE" w:rsidRPr="0007215A" w:rsidRDefault="00AC1CEE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7215A">
              <w:rPr>
                <w:rFonts w:cs="Arial"/>
                <w:b/>
                <w:szCs w:val="20"/>
              </w:rPr>
              <w:t>(</w:t>
            </w:r>
            <w:r w:rsidRPr="00D45B42">
              <w:rPr>
                <w:rFonts w:cs="Arial"/>
                <w:b/>
                <w:sz w:val="20"/>
                <w:szCs w:val="20"/>
              </w:rPr>
              <w:t>indikátor výstupu)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10CA7A8" w14:textId="251190AF" w:rsidR="004C2221" w:rsidRPr="0007215A" w:rsidRDefault="0007215A" w:rsidP="00B93248">
            <w:pPr>
              <w:spacing w:after="0" w:line="240" w:lineRule="auto"/>
              <w:jc w:val="both"/>
              <w:rPr>
                <w:rFonts w:cs="Arial"/>
                <w:bCs/>
              </w:rPr>
            </w:pPr>
            <w:bookmarkStart w:id="7" w:name="_Toc163564977"/>
            <w:r w:rsidRPr="0007215A">
              <w:t>Počet pořízených informačních systémů</w:t>
            </w:r>
            <w:bookmarkEnd w:id="7"/>
          </w:p>
        </w:tc>
        <w:tc>
          <w:tcPr>
            <w:tcW w:w="1868" w:type="dxa"/>
            <w:shd w:val="clear" w:color="auto" w:fill="auto"/>
            <w:noWrap/>
            <w:vAlign w:val="center"/>
            <w:hideMark/>
          </w:tcPr>
          <w:p w14:paraId="7D88AF18" w14:textId="1507D415" w:rsidR="004C2221" w:rsidRPr="0007215A" w:rsidRDefault="0007215A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7215A">
              <w:t>počet IS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7FB22E77" w14:textId="644AE00B" w:rsidR="004C2221" w:rsidRPr="0007215A" w:rsidRDefault="004C2221" w:rsidP="004C222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07215A">
              <w:rPr>
                <w:rFonts w:cs="Arial"/>
                <w:bCs/>
                <w:color w:val="FF0000"/>
                <w:sz w:val="20"/>
                <w:szCs w:val="20"/>
              </w:rPr>
              <w:t> </w:t>
            </w:r>
            <w:r w:rsidR="005B791A" w:rsidRPr="0007215A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14:paraId="71AD8A15" w14:textId="7E3FEF63" w:rsidR="004C2221" w:rsidRPr="0007215A" w:rsidRDefault="005B791A" w:rsidP="004C222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07215A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C2221" w:rsidRPr="001C1F58" w14:paraId="280F6C84" w14:textId="77777777" w:rsidTr="007E52D4">
        <w:trPr>
          <w:trHeight w:val="270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07A19393" w14:textId="719144FF" w:rsidR="004C2221" w:rsidRPr="00BD42C2" w:rsidRDefault="00BD42C2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D42C2">
              <w:rPr>
                <w:rFonts w:cs="Arial"/>
                <w:b/>
                <w:szCs w:val="20"/>
              </w:rPr>
              <w:t>764 010</w:t>
            </w:r>
          </w:p>
          <w:p w14:paraId="0ADC914C" w14:textId="77CE6958" w:rsidR="00AC1CEE" w:rsidRPr="00D45B42" w:rsidRDefault="00AC1CEE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45B42">
              <w:rPr>
                <w:rFonts w:cs="Arial"/>
                <w:b/>
                <w:sz w:val="20"/>
                <w:szCs w:val="20"/>
              </w:rPr>
              <w:t>(indikátor výstupu)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ABEDA30" w14:textId="64D70DE7" w:rsidR="004C2221" w:rsidRPr="00BD42C2" w:rsidRDefault="00BD42C2" w:rsidP="00B93248">
            <w:pPr>
              <w:spacing w:after="0" w:line="240" w:lineRule="auto"/>
              <w:jc w:val="both"/>
              <w:rPr>
                <w:rFonts w:cs="Arial"/>
                <w:bCs/>
              </w:rPr>
            </w:pPr>
            <w:bookmarkStart w:id="8" w:name="_Toc163564973"/>
            <w:r w:rsidRPr="00BD42C2">
              <w:t>Parkovací místa pro jízdní kola</w:t>
            </w:r>
            <w:bookmarkEnd w:id="8"/>
            <w:r w:rsidRPr="00BD42C2">
              <w:rPr>
                <w:rFonts w:cs="Arial"/>
                <w:bCs/>
              </w:rPr>
              <w:t xml:space="preserve"> 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16C54B84" w14:textId="683A105D" w:rsidR="004C2221" w:rsidRPr="00BD42C2" w:rsidRDefault="00BD42C2" w:rsidP="004C222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D42C2">
              <w:t>parkovací místa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9EEC5E5" w14:textId="20183530" w:rsidR="004C2221" w:rsidRPr="00BD42C2" w:rsidRDefault="005B791A" w:rsidP="004C222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BD42C2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482AABD9" w14:textId="6D86D8DF" w:rsidR="004C2221" w:rsidRPr="00BD42C2" w:rsidRDefault="005B791A" w:rsidP="004C222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BD42C2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42012" w:rsidRPr="001C1F58" w14:paraId="587F0C02" w14:textId="77777777" w:rsidTr="007E52D4">
        <w:trPr>
          <w:trHeight w:val="270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14:paraId="62122D9F" w14:textId="69FBD896" w:rsidR="00F42012" w:rsidRPr="00F63F8C" w:rsidRDefault="00F42012" w:rsidP="004C222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F63F8C">
              <w:rPr>
                <w:rFonts w:cs="Arial"/>
                <w:b/>
                <w:szCs w:val="20"/>
              </w:rPr>
              <w:t>323 000</w:t>
            </w:r>
          </w:p>
          <w:p w14:paraId="7390E35D" w14:textId="58A109C5" w:rsidR="00F42012" w:rsidRPr="00D45B42" w:rsidRDefault="00F42012" w:rsidP="004C222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45B42">
              <w:rPr>
                <w:rFonts w:cs="Arial"/>
                <w:b/>
                <w:sz w:val="20"/>
                <w:szCs w:val="20"/>
              </w:rPr>
              <w:t>(indikátor výsledku)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86F50E3" w14:textId="1CFC8BC9" w:rsidR="00F42012" w:rsidRPr="00F63F8C" w:rsidRDefault="00F42012" w:rsidP="00B93248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F63F8C">
              <w:t>Snížení konečné spotřeby energie u podpořených subjektů</w:t>
            </w:r>
          </w:p>
        </w:tc>
        <w:tc>
          <w:tcPr>
            <w:tcW w:w="1868" w:type="dxa"/>
            <w:shd w:val="clear" w:color="auto" w:fill="auto"/>
            <w:noWrap/>
            <w:vAlign w:val="center"/>
          </w:tcPr>
          <w:p w14:paraId="017ECFBD" w14:textId="13134284" w:rsidR="00F42012" w:rsidRPr="00F63F8C" w:rsidRDefault="00D01BE8" w:rsidP="004C222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3F8C">
              <w:rPr>
                <w:rFonts w:cstheme="minorHAnsi"/>
                <w:color w:val="000000"/>
                <w:sz w:val="20"/>
                <w:szCs w:val="20"/>
              </w:rPr>
              <w:t>GJ/rok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8F42CC5" w14:textId="7C0ADF79" w:rsidR="00F42012" w:rsidRPr="00F63F8C" w:rsidRDefault="007F3BB4" w:rsidP="004C222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F63F8C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14:paraId="4A667ABA" w14:textId="743EAE21" w:rsidR="00F42012" w:rsidRPr="00F63F8C" w:rsidRDefault="007F3BB4" w:rsidP="004C222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F63F8C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5690DD72" w14:textId="43E6027C" w:rsidR="00087CE4" w:rsidRDefault="00087CE4" w:rsidP="00087CE4">
      <w:pPr>
        <w:rPr>
          <w:b/>
        </w:rPr>
      </w:pPr>
      <w:r>
        <w:rPr>
          <w:rFonts w:cs="Arial"/>
          <w:color w:val="FF0000"/>
          <w:sz w:val="20"/>
          <w:szCs w:val="20"/>
        </w:rPr>
        <w:t>Žadatel je povinen vyplnit příslušné indikátory odpovídající aktivitě projektu. Do ostatních polí uveďte „NR“.</w:t>
      </w:r>
    </w:p>
    <w:p w14:paraId="565E5707" w14:textId="77777777" w:rsidR="007D3751" w:rsidRDefault="007D3751" w:rsidP="00991E7D">
      <w:pPr>
        <w:rPr>
          <w:b/>
        </w:rPr>
      </w:pPr>
    </w:p>
    <w:p w14:paraId="1DD08B8B" w14:textId="77777777" w:rsidR="00FB31BE" w:rsidRDefault="00FB31BE" w:rsidP="00991E7D">
      <w:pPr>
        <w:rPr>
          <w:b/>
        </w:rPr>
      </w:pPr>
    </w:p>
    <w:p w14:paraId="09161E79" w14:textId="77777777" w:rsidR="00FB31BE" w:rsidRDefault="00FB31BE" w:rsidP="00991E7D">
      <w:pPr>
        <w:rPr>
          <w:b/>
        </w:rPr>
      </w:pPr>
    </w:p>
    <w:p w14:paraId="5FF13453" w14:textId="77777777" w:rsidR="00FB31BE" w:rsidRDefault="00FB31BE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1C41B107" w:rsidR="00991E7D" w:rsidRPr="00586900" w:rsidRDefault="00403FC7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p</w:t>
            </w:r>
            <w:r w:rsidRPr="00403FC7">
              <w:rPr>
                <w:color w:val="FF0000"/>
              </w:rPr>
              <w:t>řílohy dokladující připravenost projektu (relevantní pro splnění kritéria věcného hodnocení)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3C63F71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191B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41CB" w14:textId="77777777" w:rsidR="00526492" w:rsidRDefault="00526492" w:rsidP="00DC4000">
      <w:pPr>
        <w:spacing w:after="0" w:line="240" w:lineRule="auto"/>
      </w:pPr>
      <w:r>
        <w:separator/>
      </w:r>
    </w:p>
  </w:endnote>
  <w:endnote w:type="continuationSeparator" w:id="0">
    <w:p w14:paraId="76353589" w14:textId="77777777" w:rsidR="00526492" w:rsidRDefault="00526492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C3A8" w14:textId="77777777" w:rsidR="00526492" w:rsidRDefault="00526492" w:rsidP="00DC4000">
      <w:pPr>
        <w:spacing w:after="0" w:line="240" w:lineRule="auto"/>
      </w:pPr>
      <w:r>
        <w:separator/>
      </w:r>
    </w:p>
  </w:footnote>
  <w:footnote w:type="continuationSeparator" w:id="0">
    <w:p w14:paraId="3E109352" w14:textId="77777777" w:rsidR="00526492" w:rsidRDefault="00526492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A290" w14:textId="330F57E8" w:rsidR="006C1AA6" w:rsidRDefault="006C1AA6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920C45" wp14:editId="533F4F6C">
          <wp:simplePos x="0" y="0"/>
          <wp:positionH relativeFrom="rightMargin">
            <wp:posOffset>28656</wp:posOffset>
          </wp:positionH>
          <wp:positionV relativeFrom="paragraph">
            <wp:posOffset>-93805</wp:posOffset>
          </wp:positionV>
          <wp:extent cx="312420" cy="482376"/>
          <wp:effectExtent l="0" t="0" r="0" b="0"/>
          <wp:wrapTight wrapText="bothSides">
            <wp:wrapPolygon edited="0">
              <wp:start x="0" y="0"/>
              <wp:lineTo x="0" y="20490"/>
              <wp:lineTo x="19756" y="20490"/>
              <wp:lineTo x="19756" y="0"/>
              <wp:lineTo x="0" y="0"/>
            </wp:wrapPolygon>
          </wp:wrapTight>
          <wp:docPr id="116282593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48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09E81974">
          <wp:simplePos x="0" y="0"/>
          <wp:positionH relativeFrom="margin">
            <wp:posOffset>-52867</wp:posOffset>
          </wp:positionH>
          <wp:positionV relativeFrom="paragraph">
            <wp:posOffset>-185420</wp:posOffset>
          </wp:positionV>
          <wp:extent cx="5174615" cy="622300"/>
          <wp:effectExtent l="0" t="0" r="6985" b="6350"/>
          <wp:wrapTight wrapText="bothSides">
            <wp:wrapPolygon edited="0">
              <wp:start x="0" y="0"/>
              <wp:lineTo x="0" y="21159"/>
              <wp:lineTo x="3976" y="21159"/>
              <wp:lineTo x="17017" y="21159"/>
              <wp:lineTo x="20754" y="18514"/>
              <wp:lineTo x="20595" y="10580"/>
              <wp:lineTo x="21550" y="6612"/>
              <wp:lineTo x="21550" y="1984"/>
              <wp:lineTo x="397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461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2BE42" w14:textId="77777777" w:rsidR="006C1AA6" w:rsidRDefault="006C1AA6">
    <w:pPr>
      <w:pStyle w:val="Zhlav"/>
    </w:pPr>
  </w:p>
  <w:p w14:paraId="4ECCC391" w14:textId="35BE69E7" w:rsidR="00DC4000" w:rsidRDefault="00DC4000">
    <w:pPr>
      <w:pStyle w:val="Zhlav"/>
    </w:pPr>
  </w:p>
  <w:p w14:paraId="40603F67" w14:textId="77777777" w:rsidR="006C1AA6" w:rsidRDefault="006C1AA6">
    <w:pPr>
      <w:pStyle w:val="Zhlav"/>
    </w:pPr>
  </w:p>
  <w:p w14:paraId="0B1EB9A9" w14:textId="77777777" w:rsidR="006C1AA6" w:rsidRDefault="006C1A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21378"/>
    <w:rsid w:val="00026F3D"/>
    <w:rsid w:val="00043880"/>
    <w:rsid w:val="00050021"/>
    <w:rsid w:val="00053509"/>
    <w:rsid w:val="00067935"/>
    <w:rsid w:val="00070398"/>
    <w:rsid w:val="0007215A"/>
    <w:rsid w:val="00077E65"/>
    <w:rsid w:val="00081706"/>
    <w:rsid w:val="00087CE4"/>
    <w:rsid w:val="000D0E0B"/>
    <w:rsid w:val="000E22D9"/>
    <w:rsid w:val="00105F46"/>
    <w:rsid w:val="00106565"/>
    <w:rsid w:val="001115D4"/>
    <w:rsid w:val="00117535"/>
    <w:rsid w:val="00132EF7"/>
    <w:rsid w:val="00142849"/>
    <w:rsid w:val="00156A98"/>
    <w:rsid w:val="00163336"/>
    <w:rsid w:val="001704A1"/>
    <w:rsid w:val="00174A6F"/>
    <w:rsid w:val="00191B55"/>
    <w:rsid w:val="001B477B"/>
    <w:rsid w:val="00211D24"/>
    <w:rsid w:val="0023621E"/>
    <w:rsid w:val="0023690F"/>
    <w:rsid w:val="002411FA"/>
    <w:rsid w:val="00260C35"/>
    <w:rsid w:val="002749EF"/>
    <w:rsid w:val="0028368E"/>
    <w:rsid w:val="00292356"/>
    <w:rsid w:val="002B045A"/>
    <w:rsid w:val="002B6755"/>
    <w:rsid w:val="002D762F"/>
    <w:rsid w:val="002E73F6"/>
    <w:rsid w:val="002E7863"/>
    <w:rsid w:val="00302B62"/>
    <w:rsid w:val="00321D49"/>
    <w:rsid w:val="00325C4C"/>
    <w:rsid w:val="00331076"/>
    <w:rsid w:val="0033169C"/>
    <w:rsid w:val="0033335D"/>
    <w:rsid w:val="00351DDA"/>
    <w:rsid w:val="00355FAA"/>
    <w:rsid w:val="00384741"/>
    <w:rsid w:val="003B025E"/>
    <w:rsid w:val="003B23DB"/>
    <w:rsid w:val="003C4A98"/>
    <w:rsid w:val="003E4E8C"/>
    <w:rsid w:val="003F35B4"/>
    <w:rsid w:val="00401930"/>
    <w:rsid w:val="00403FC7"/>
    <w:rsid w:val="00422669"/>
    <w:rsid w:val="00432B25"/>
    <w:rsid w:val="00436DBC"/>
    <w:rsid w:val="00446298"/>
    <w:rsid w:val="00455349"/>
    <w:rsid w:val="004727FE"/>
    <w:rsid w:val="00495925"/>
    <w:rsid w:val="004A2E99"/>
    <w:rsid w:val="004A70A7"/>
    <w:rsid w:val="004A7E5C"/>
    <w:rsid w:val="004C2221"/>
    <w:rsid w:val="004D7A8D"/>
    <w:rsid w:val="004E36F2"/>
    <w:rsid w:val="004E4B1D"/>
    <w:rsid w:val="004E61A8"/>
    <w:rsid w:val="004F2CBA"/>
    <w:rsid w:val="004F5F63"/>
    <w:rsid w:val="00505B2E"/>
    <w:rsid w:val="00517666"/>
    <w:rsid w:val="00526492"/>
    <w:rsid w:val="00563717"/>
    <w:rsid w:val="00566AB1"/>
    <w:rsid w:val="00583387"/>
    <w:rsid w:val="00584FED"/>
    <w:rsid w:val="00586900"/>
    <w:rsid w:val="00590C2F"/>
    <w:rsid w:val="00591E27"/>
    <w:rsid w:val="005A34C7"/>
    <w:rsid w:val="005A3FAF"/>
    <w:rsid w:val="005B791A"/>
    <w:rsid w:val="005F0EF4"/>
    <w:rsid w:val="005F1081"/>
    <w:rsid w:val="006140B9"/>
    <w:rsid w:val="00621C5B"/>
    <w:rsid w:val="00647584"/>
    <w:rsid w:val="006672CF"/>
    <w:rsid w:val="006763C0"/>
    <w:rsid w:val="006C1AA6"/>
    <w:rsid w:val="006C580A"/>
    <w:rsid w:val="006E2F9C"/>
    <w:rsid w:val="006E5044"/>
    <w:rsid w:val="006E6251"/>
    <w:rsid w:val="006F2B4F"/>
    <w:rsid w:val="007128A4"/>
    <w:rsid w:val="00726F7F"/>
    <w:rsid w:val="00741A8E"/>
    <w:rsid w:val="0074625F"/>
    <w:rsid w:val="00756F8E"/>
    <w:rsid w:val="00761F2A"/>
    <w:rsid w:val="00766C5E"/>
    <w:rsid w:val="00775CE4"/>
    <w:rsid w:val="007826D2"/>
    <w:rsid w:val="00793BE0"/>
    <w:rsid w:val="007979E5"/>
    <w:rsid w:val="007A3A94"/>
    <w:rsid w:val="007B27ED"/>
    <w:rsid w:val="007B53D9"/>
    <w:rsid w:val="007D1E1A"/>
    <w:rsid w:val="007D3751"/>
    <w:rsid w:val="007E053F"/>
    <w:rsid w:val="007E52D4"/>
    <w:rsid w:val="007F3BB4"/>
    <w:rsid w:val="00800415"/>
    <w:rsid w:val="00806654"/>
    <w:rsid w:val="00816A65"/>
    <w:rsid w:val="00857AD1"/>
    <w:rsid w:val="00882709"/>
    <w:rsid w:val="00885DDE"/>
    <w:rsid w:val="00896CED"/>
    <w:rsid w:val="008C6FB6"/>
    <w:rsid w:val="008D2D37"/>
    <w:rsid w:val="008D5490"/>
    <w:rsid w:val="008E7806"/>
    <w:rsid w:val="008F1B30"/>
    <w:rsid w:val="0091235B"/>
    <w:rsid w:val="009161D5"/>
    <w:rsid w:val="00937B4F"/>
    <w:rsid w:val="00951AF2"/>
    <w:rsid w:val="009662E3"/>
    <w:rsid w:val="00973F54"/>
    <w:rsid w:val="00991E7D"/>
    <w:rsid w:val="009B4542"/>
    <w:rsid w:val="009C328F"/>
    <w:rsid w:val="009D31A0"/>
    <w:rsid w:val="009D6026"/>
    <w:rsid w:val="00A14B16"/>
    <w:rsid w:val="00A15B2A"/>
    <w:rsid w:val="00A53DA8"/>
    <w:rsid w:val="00A637F3"/>
    <w:rsid w:val="00A64238"/>
    <w:rsid w:val="00A7165D"/>
    <w:rsid w:val="00A9528D"/>
    <w:rsid w:val="00AA1CE1"/>
    <w:rsid w:val="00AA4402"/>
    <w:rsid w:val="00AC004D"/>
    <w:rsid w:val="00AC0A15"/>
    <w:rsid w:val="00AC1CEE"/>
    <w:rsid w:val="00AC53EF"/>
    <w:rsid w:val="00AF308B"/>
    <w:rsid w:val="00B12301"/>
    <w:rsid w:val="00B2672F"/>
    <w:rsid w:val="00B43AEC"/>
    <w:rsid w:val="00B93248"/>
    <w:rsid w:val="00BA3A50"/>
    <w:rsid w:val="00BA5D28"/>
    <w:rsid w:val="00BD42C2"/>
    <w:rsid w:val="00C13769"/>
    <w:rsid w:val="00C210B1"/>
    <w:rsid w:val="00C32EBB"/>
    <w:rsid w:val="00C411A5"/>
    <w:rsid w:val="00C566ED"/>
    <w:rsid w:val="00C70163"/>
    <w:rsid w:val="00C76447"/>
    <w:rsid w:val="00C9232A"/>
    <w:rsid w:val="00C930F7"/>
    <w:rsid w:val="00C973FA"/>
    <w:rsid w:val="00C97923"/>
    <w:rsid w:val="00CA4283"/>
    <w:rsid w:val="00CB419A"/>
    <w:rsid w:val="00CC437D"/>
    <w:rsid w:val="00CC71C5"/>
    <w:rsid w:val="00CD77D8"/>
    <w:rsid w:val="00CE1743"/>
    <w:rsid w:val="00D0081F"/>
    <w:rsid w:val="00D01BE8"/>
    <w:rsid w:val="00D45B42"/>
    <w:rsid w:val="00D53B41"/>
    <w:rsid w:val="00D57C23"/>
    <w:rsid w:val="00D6121F"/>
    <w:rsid w:val="00D62762"/>
    <w:rsid w:val="00D63EA4"/>
    <w:rsid w:val="00D65CEA"/>
    <w:rsid w:val="00D761F3"/>
    <w:rsid w:val="00D8561C"/>
    <w:rsid w:val="00D90EC8"/>
    <w:rsid w:val="00DB4F52"/>
    <w:rsid w:val="00DC4000"/>
    <w:rsid w:val="00DE4122"/>
    <w:rsid w:val="00E20954"/>
    <w:rsid w:val="00E44FC7"/>
    <w:rsid w:val="00E54194"/>
    <w:rsid w:val="00E77091"/>
    <w:rsid w:val="00E94B08"/>
    <w:rsid w:val="00E95273"/>
    <w:rsid w:val="00EF18AB"/>
    <w:rsid w:val="00F1085F"/>
    <w:rsid w:val="00F2479D"/>
    <w:rsid w:val="00F379D1"/>
    <w:rsid w:val="00F42012"/>
    <w:rsid w:val="00F434AF"/>
    <w:rsid w:val="00F63F8C"/>
    <w:rsid w:val="00F769C6"/>
    <w:rsid w:val="00FB0993"/>
    <w:rsid w:val="00FB31BE"/>
    <w:rsid w:val="00FB37AC"/>
    <w:rsid w:val="00FE4BDD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mas-aktivios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rop.gov.cz/cs/vyzvy-2021-2027/vyzvy/86vyzvairo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-aktivios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zso.cz/csu/czso/pocet-obyvatel-v-obcich-k-1120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965CF4-356D-4889-81DE-E866912B8D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1107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Martina Hanzlíková</cp:lastModifiedBy>
  <cp:revision>108</cp:revision>
  <dcterms:created xsi:type="dcterms:W3CDTF">2024-03-18T12:03:00Z</dcterms:created>
  <dcterms:modified xsi:type="dcterms:W3CDTF">2025-04-03T05:34:00Z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